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jc w:val="left"/>
        <w:rPr>
          <w:rFonts w:ascii="Noto Sans KR" w:cs="Noto Sans KR" w:eastAsia="Noto Sans KR" w:hAnsi="Noto Sans KR"/>
          <w:b w:val="1"/>
          <w:sz w:val="2"/>
          <w:szCs w:val="2"/>
        </w:rPr>
      </w:pPr>
      <w:r w:rsidDel="00000000" w:rsidR="00000000" w:rsidRPr="00000000">
        <w:rPr>
          <w:rtl w:val="0"/>
        </w:rPr>
      </w:r>
    </w:p>
    <w:tbl>
      <w:tblPr>
        <w:tblStyle w:val="Table1"/>
        <w:tblW w:w="9615.0" w:type="dxa"/>
        <w:jc w:val="left"/>
        <w:tblBorders>
          <w:top w:color="000000" w:space="0" w:sz="0" w:val="nil"/>
          <w:left w:color="000000" w:space="0" w:sz="18" w:val="single"/>
          <w:bottom w:color="000000" w:space="0" w:sz="0" w:val="nil"/>
          <w:right w:color="000000" w:space="0" w:sz="0" w:val="nil"/>
          <w:insideH w:color="000000" w:space="0" w:sz="0" w:val="nil"/>
          <w:insideV w:color="000000" w:space="0" w:sz="0" w:val="nil"/>
        </w:tblBorders>
        <w:tblLayout w:type="fixed"/>
        <w:tblLook w:val="0400"/>
      </w:tblPr>
      <w:tblGrid>
        <w:gridCol w:w="9615"/>
        <w:tblGridChange w:id="0">
          <w:tblGrid>
            <w:gridCol w:w="9615"/>
          </w:tblGrid>
        </w:tblGridChange>
      </w:tblGrid>
      <w:tr>
        <w:trPr>
          <w:cantSplit w:val="0"/>
          <w:trHeight w:val="885.9375" w:hRule="atLeast"/>
          <w:tblHeader w:val="0"/>
        </w:trPr>
        <w:tc>
          <w:tcPr/>
          <w:p w:rsidR="00000000" w:rsidDel="00000000" w:rsidP="00000000" w:rsidRDefault="00000000" w:rsidRPr="00000000" w14:paraId="00000002">
            <w:pPr>
              <w:widowControl w:val="1"/>
              <w:spacing w:line="360" w:lineRule="auto"/>
              <w:jc w:val="left"/>
              <w:rPr>
                <w:rFonts w:ascii="Arial Black" w:cs="Arial Black" w:eastAsia="Arial Black" w:hAnsi="Arial Black"/>
                <w:b w:val="1"/>
                <w:sz w:val="28"/>
                <w:szCs w:val="28"/>
              </w:rPr>
            </w:pPr>
            <w:r w:rsidDel="00000000" w:rsidR="00000000" w:rsidRPr="00000000">
              <w:rPr>
                <w:rFonts w:ascii="Arial Black" w:cs="Arial Black" w:eastAsia="Arial Black" w:hAnsi="Arial Black"/>
                <w:b w:val="1"/>
                <w:sz w:val="28"/>
                <w:szCs w:val="28"/>
                <w:rtl w:val="0"/>
              </w:rPr>
              <w:t xml:space="preserve">Special Session GEEF 2025 </w:t>
            </w:r>
          </w:p>
          <w:p w:rsidR="00000000" w:rsidDel="00000000" w:rsidP="00000000" w:rsidRDefault="00000000" w:rsidRPr="00000000" w14:paraId="00000003">
            <w:pPr>
              <w:widowControl w:val="1"/>
              <w:spacing w:line="360" w:lineRule="auto"/>
              <w:jc w:val="left"/>
              <w:rPr>
                <w:b w:val="1"/>
                <w:sz w:val="26"/>
                <w:szCs w:val="26"/>
              </w:rPr>
            </w:pPr>
            <w:bookmarkStart w:colFirst="0" w:colLast="0" w:name="_heading=h.ycu75c70hlhi" w:id="0"/>
            <w:bookmarkEnd w:id="0"/>
            <w:r w:rsidDel="00000000" w:rsidR="00000000" w:rsidRPr="00000000">
              <w:rPr>
                <w:rFonts w:ascii="Arial" w:cs="Arial" w:eastAsia="Arial" w:hAnsi="Arial"/>
                <w:b w:val="1"/>
                <w:sz w:val="28"/>
                <w:szCs w:val="28"/>
                <w:rtl w:val="0"/>
              </w:rPr>
              <w:t xml:space="preserve">Yonsei’s Past, Present, and Future </w:t>
              <w:br w:type="textWrapping"/>
              <w:t xml:space="preserve">(</w:t>
            </w:r>
            <w:r w:rsidDel="00000000" w:rsidR="00000000" w:rsidRPr="00000000">
              <w:rPr>
                <w:rFonts w:ascii="Arial" w:cs="Arial" w:eastAsia="Arial" w:hAnsi="Arial"/>
                <w:b w:val="1"/>
                <w:sz w:val="26"/>
                <w:szCs w:val="26"/>
                <w:rtl w:val="0"/>
              </w:rPr>
              <w:t xml:space="preserve">2. Yonsei University's Quantum Technology for the SDGs)</w:t>
            </w:r>
            <w:r w:rsidDel="00000000" w:rsidR="00000000" w:rsidRPr="00000000">
              <w:rPr>
                <w:rtl w:val="0"/>
              </w:rPr>
            </w:r>
          </w:p>
        </w:tc>
      </w:tr>
      <w:tr>
        <w:trPr>
          <w:cantSplit w:val="0"/>
          <w:trHeight w:val="885.9375" w:hRule="atLeast"/>
          <w:tblHeader w:val="0"/>
        </w:trPr>
        <w:tc>
          <w:tcPr/>
          <w:p w:rsidR="00000000" w:rsidDel="00000000" w:rsidP="00000000" w:rsidRDefault="00000000" w:rsidRPr="00000000" w14:paraId="00000004">
            <w:pPr>
              <w:widowControl w:val="1"/>
              <w:spacing w:line="360" w:lineRule="auto"/>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Date: March 13, 2025</w:t>
            </w:r>
          </w:p>
          <w:p w:rsidR="00000000" w:rsidDel="00000000" w:rsidP="00000000" w:rsidRDefault="00000000" w:rsidRPr="00000000" w14:paraId="00000005">
            <w:pPr>
              <w:widowControl w:val="1"/>
              <w:spacing w:line="360" w:lineRule="auto"/>
              <w:jc w:val="left"/>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Place: Millenium Hall, Sinchon Campus</w:t>
            </w:r>
            <w:r w:rsidDel="00000000" w:rsidR="00000000" w:rsidRPr="00000000">
              <w:rPr>
                <w:rtl w:val="0"/>
              </w:rPr>
            </w:r>
          </w:p>
        </w:tc>
      </w:tr>
    </w:tbl>
    <w:p w:rsidR="00000000" w:rsidDel="00000000" w:rsidP="00000000" w:rsidRDefault="00000000" w:rsidRPr="00000000" w14:paraId="00000006">
      <w:pPr>
        <w:widowControl w:val="1"/>
        <w:spacing w:after="0" w:line="240"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7">
      <w:pPr>
        <w:widowControl w:val="1"/>
        <w:spacing w:after="0" w:line="240" w:lineRule="auto"/>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CONCEPT NOTE</w:t>
      </w:r>
    </w:p>
    <w:p w:rsidR="00000000" w:rsidDel="00000000" w:rsidP="00000000" w:rsidRDefault="00000000" w:rsidRPr="00000000" w14:paraId="00000008">
      <w:pPr>
        <w:widowControl w:val="1"/>
        <w:spacing w:after="0" w:line="240" w:lineRule="auto"/>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9">
      <w:pPr>
        <w:widowControl w:val="1"/>
        <w:spacing w:after="0" w:line="240"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 Forum Outline</w:t>
      </w:r>
    </w:p>
    <w:p w:rsidR="00000000" w:rsidDel="00000000" w:rsidP="00000000" w:rsidRDefault="00000000" w:rsidRPr="00000000" w14:paraId="0000000A">
      <w:pPr>
        <w:widowControl w:val="1"/>
        <w:spacing w:after="0" w:line="240" w:lineRule="auto"/>
        <w:jc w:val="left"/>
        <w:rPr>
          <w:rFonts w:ascii="Arial" w:cs="Arial" w:eastAsia="Arial" w:hAnsi="Arial"/>
          <w:b w:val="1"/>
          <w:sz w:val="22"/>
          <w:szCs w:val="22"/>
        </w:rPr>
      </w:pPr>
      <w:r w:rsidDel="00000000" w:rsidR="00000000" w:rsidRPr="00000000">
        <w:rPr>
          <w:rtl w:val="0"/>
        </w:rPr>
      </w:r>
    </w:p>
    <w:sdt>
      <w:sdtPr>
        <w:lock w:val="contentLocked"/>
        <w:tag w:val="goog_rdk_0"/>
      </w:sdtPr>
      <w:sdtContent>
        <w:tbl>
          <w:tblPr>
            <w:tblStyle w:val="Table2"/>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0"/>
            <w:gridCol w:w="3255"/>
            <w:gridCol w:w="4395"/>
            <w:tblGridChange w:id="0">
              <w:tblGrid>
                <w:gridCol w:w="1380"/>
                <w:gridCol w:w="3255"/>
                <w:gridCol w:w="4395"/>
              </w:tblGrid>
            </w:tblGridChange>
          </w:tblGrid>
          <w:tr>
            <w:trPr>
              <w:cantSplit w:val="0"/>
              <w:trHeight w:val="20.728034812242925" w:hRule="atLeast"/>
              <w:tblHeader w:val="0"/>
            </w:trPr>
            <w:tc>
              <w:tcPr>
                <w:tcBorders>
                  <w:top w:color="000000" w:space="0" w:sz="5" w:val="single"/>
                  <w:left w:color="000000" w:space="0" w:sz="5" w:val="single"/>
                  <w:bottom w:color="000000" w:space="0" w:sz="5" w:val="single"/>
                  <w:right w:color="000000" w:space="0" w:sz="5" w:val="single"/>
                </w:tcBorders>
                <w:shd w:fill="dfe6f7" w:val="clear"/>
                <w:tcMar>
                  <w:top w:w="20.0" w:type="dxa"/>
                  <w:left w:w="100.0" w:type="dxa"/>
                  <w:bottom w:w="20.0" w:type="dxa"/>
                  <w:right w:w="100.0" w:type="dxa"/>
                </w:tcMar>
                <w:vAlign w:val="center"/>
              </w:tcPr>
              <w:p w:rsidR="00000000" w:rsidDel="00000000" w:rsidP="00000000" w:rsidRDefault="00000000" w:rsidRPr="00000000" w14:paraId="0000000B">
                <w:pPr>
                  <w:widowControl w:val="1"/>
                  <w:spacing w:after="0" w:before="0"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Session</w:t>
                </w:r>
              </w:p>
            </w:tc>
            <w:tc>
              <w:tcPr>
                <w:gridSpan w:val="2"/>
                <w:tcBorders>
                  <w:top w:color="000000" w:space="0" w:sz="5" w:val="single"/>
                  <w:left w:color="000000" w:space="0" w:sz="5" w:val="single"/>
                  <w:bottom w:color="000000" w:space="0" w:sz="5" w:val="single"/>
                  <w:right w:color="000000" w:space="0" w:sz="5" w:val="single"/>
                </w:tcBorders>
                <w:tcMar>
                  <w:top w:w="20.0" w:type="dxa"/>
                  <w:left w:w="100.0" w:type="dxa"/>
                  <w:bottom w:w="20.0" w:type="dxa"/>
                  <w:right w:w="100.0" w:type="dxa"/>
                </w:tcMar>
                <w:vAlign w:val="center"/>
              </w:tcPr>
              <w:p w:rsidR="00000000" w:rsidDel="00000000" w:rsidP="00000000" w:rsidRDefault="00000000" w:rsidRPr="00000000" w14:paraId="0000000C">
                <w:pPr>
                  <w:widowControl w:val="1"/>
                  <w:spacing w:after="0" w:before="0" w:line="240" w:lineRule="auto"/>
                  <w:ind w:lef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Special Session: Yonsei’s Past, Present, and Future (2. Yonsei University’s Quantum Technology for the SDGs)</w:t>
                </w:r>
              </w:p>
            </w:tc>
          </w:tr>
          <w:tr>
            <w:trPr>
              <w:cantSplit w:val="0"/>
              <w:trHeight w:val="20.728034812242925" w:hRule="atLeast"/>
              <w:tblHeader w:val="0"/>
            </w:trPr>
            <w:tc>
              <w:tcPr>
                <w:tcBorders>
                  <w:top w:color="000000" w:space="0" w:sz="5" w:val="single"/>
                  <w:left w:color="000000" w:space="0" w:sz="5" w:val="single"/>
                  <w:bottom w:color="000000" w:space="0" w:sz="5" w:val="single"/>
                  <w:right w:color="000000" w:space="0" w:sz="5" w:val="single"/>
                </w:tcBorders>
                <w:shd w:fill="dfe6f7" w:val="clear"/>
                <w:tcMar>
                  <w:top w:w="20.0" w:type="dxa"/>
                  <w:left w:w="100.0" w:type="dxa"/>
                  <w:bottom w:w="20.0" w:type="dxa"/>
                  <w:right w:w="100.0" w:type="dxa"/>
                </w:tcMar>
                <w:vAlign w:val="center"/>
              </w:tcPr>
              <w:p w:rsidR="00000000" w:rsidDel="00000000" w:rsidP="00000000" w:rsidRDefault="00000000" w:rsidRPr="00000000" w14:paraId="0000000E">
                <w:pPr>
                  <w:widowControl w:val="1"/>
                  <w:spacing w:after="0" w:before="0"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Speakers</w:t>
                </w:r>
              </w:p>
            </w:tc>
            <w:tc>
              <w:tcPr>
                <w:gridSpan w:val="2"/>
                <w:tcBorders>
                  <w:top w:color="000000" w:space="0" w:sz="5" w:val="single"/>
                  <w:left w:color="000000" w:space="0" w:sz="5" w:val="single"/>
                  <w:bottom w:color="000000" w:space="0" w:sz="5" w:val="single"/>
                  <w:right w:color="000000" w:space="0" w:sz="5" w:val="single"/>
                </w:tcBorders>
                <w:tcMar>
                  <w:top w:w="20.0" w:type="dxa"/>
                  <w:left w:w="100.0" w:type="dxa"/>
                  <w:bottom w:w="20.0" w:type="dxa"/>
                  <w:right w:w="100.0" w:type="dxa"/>
                </w:tcMar>
                <w:vAlign w:val="center"/>
              </w:tcPr>
              <w:p w:rsidR="00000000" w:rsidDel="00000000" w:rsidP="00000000" w:rsidRDefault="00000000" w:rsidRPr="00000000" w14:paraId="0000000F">
                <w:pPr>
                  <w:widowControl w:val="1"/>
                  <w:shd w:fill="ffffff" w:val="clear"/>
                  <w:jc w:val="center"/>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Prof. Jae-Ho Cheong, M.D. Ph.D</w:t>
                </w:r>
              </w:p>
              <w:p w:rsidR="00000000" w:rsidDel="00000000" w:rsidP="00000000" w:rsidRDefault="00000000" w:rsidRPr="00000000" w14:paraId="00000010">
                <w:pPr>
                  <w:widowControl w:val="1"/>
                  <w:shd w:fill="ffffff" w:val="clear"/>
                  <w:jc w:val="center"/>
                  <w:rPr>
                    <w:rFonts w:ascii="Arial" w:cs="Arial" w:eastAsia="Arial" w:hAnsi="Arial"/>
                    <w:color w:val="222222"/>
                    <w:sz w:val="22"/>
                    <w:szCs w:val="22"/>
                  </w:rPr>
                </w:pPr>
                <w:r w:rsidDel="00000000" w:rsidR="00000000" w:rsidRPr="00000000">
                  <w:rPr>
                    <w:rFonts w:ascii="Arial" w:cs="Arial" w:eastAsia="Arial" w:hAnsi="Arial"/>
                    <w:color w:val="222222"/>
                    <w:sz w:val="22"/>
                    <w:szCs w:val="22"/>
                    <w:rtl w:val="0"/>
                  </w:rPr>
                  <w:t xml:space="preserve">(Professor, College of Medicine, Yonsei University, </w:t>
                </w:r>
              </w:p>
              <w:p w:rsidR="00000000" w:rsidDel="00000000" w:rsidP="00000000" w:rsidRDefault="00000000" w:rsidRPr="00000000" w14:paraId="00000011">
                <w:pPr>
                  <w:widowControl w:val="1"/>
                  <w:shd w:fill="ffffff" w:val="clear"/>
                  <w:jc w:val="center"/>
                  <w:rPr>
                    <w:rFonts w:ascii="Arial" w:cs="Arial" w:eastAsia="Arial" w:hAnsi="Arial"/>
                    <w:sz w:val="22"/>
                    <w:szCs w:val="22"/>
                  </w:rPr>
                </w:pPr>
                <w:r w:rsidDel="00000000" w:rsidR="00000000" w:rsidRPr="00000000">
                  <w:rPr>
                    <w:rFonts w:ascii="Arial" w:cs="Arial" w:eastAsia="Arial" w:hAnsi="Arial"/>
                    <w:color w:val="222222"/>
                    <w:sz w:val="22"/>
                    <w:szCs w:val="22"/>
                    <w:rtl w:val="0"/>
                  </w:rPr>
                  <w:t xml:space="preserve">Director, Yonsei Science Park)</w:t>
                </w:r>
                <w:r w:rsidDel="00000000" w:rsidR="00000000" w:rsidRPr="00000000">
                  <w:rPr>
                    <w:rtl w:val="0"/>
                  </w:rPr>
                </w:r>
              </w:p>
            </w:tc>
          </w:tr>
          <w:tr>
            <w:trPr>
              <w:cantSplit w:val="0"/>
              <w:trHeight w:val="20.728034812242925" w:hRule="atLeast"/>
              <w:tblHeader w:val="0"/>
            </w:trPr>
            <w:tc>
              <w:tcPr>
                <w:tcBorders>
                  <w:top w:color="000000" w:space="0" w:sz="5" w:val="single"/>
                  <w:left w:color="000000" w:space="0" w:sz="5" w:val="single"/>
                  <w:bottom w:color="000000" w:space="0" w:sz="5" w:val="single"/>
                  <w:right w:color="000000" w:space="0" w:sz="5" w:val="single"/>
                </w:tcBorders>
                <w:shd w:fill="dfe6f7" w:val="clear"/>
                <w:tcMar>
                  <w:top w:w="20.0" w:type="dxa"/>
                  <w:left w:w="100.0" w:type="dxa"/>
                  <w:bottom w:w="20.0" w:type="dxa"/>
                  <w:right w:w="100.0" w:type="dxa"/>
                </w:tcMar>
                <w:vAlign w:val="center"/>
              </w:tcPr>
              <w:p w:rsidR="00000000" w:rsidDel="00000000" w:rsidP="00000000" w:rsidRDefault="00000000" w:rsidRPr="00000000" w14:paraId="00000013">
                <w:pPr>
                  <w:widowControl w:val="1"/>
                  <w:spacing w:after="0" w:before="0"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Date</w:t>
                </w:r>
              </w:p>
            </w:tc>
            <w:tc>
              <w:tcPr>
                <w:gridSpan w:val="2"/>
                <w:tcBorders>
                  <w:top w:color="000000" w:space="0" w:sz="5" w:val="single"/>
                  <w:left w:color="000000" w:space="0" w:sz="5" w:val="single"/>
                  <w:bottom w:color="000000" w:space="0" w:sz="5" w:val="single"/>
                  <w:right w:color="000000" w:space="0" w:sz="5" w:val="single"/>
                </w:tcBorders>
                <w:shd w:fill="auto" w:val="clear"/>
                <w:tcMar>
                  <w:top w:w="20.0" w:type="dxa"/>
                  <w:left w:w="100.0" w:type="dxa"/>
                  <w:bottom w:w="20.0" w:type="dxa"/>
                  <w:right w:w="100.0" w:type="dxa"/>
                </w:tcMar>
                <w:vAlign w:val="center"/>
              </w:tcPr>
              <w:p w:rsidR="00000000" w:rsidDel="00000000" w:rsidP="00000000" w:rsidRDefault="00000000" w:rsidRPr="00000000" w14:paraId="00000014">
                <w:pPr>
                  <w:widowControl w:val="1"/>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March 13, 2025, Special Session (KST 10:30am –11:15am)</w:t>
                </w:r>
              </w:p>
            </w:tc>
          </w:tr>
          <w:tr>
            <w:trPr>
              <w:cantSplit w:val="0"/>
              <w:trHeight w:val="20.728034812242925" w:hRule="atLeast"/>
              <w:tblHeader w:val="0"/>
            </w:trPr>
            <w:tc>
              <w:tcPr>
                <w:tcBorders>
                  <w:top w:color="000000" w:space="0" w:sz="5" w:val="single"/>
                  <w:left w:color="000000" w:space="0" w:sz="5" w:val="single"/>
                  <w:bottom w:color="000000" w:space="0" w:sz="5" w:val="single"/>
                  <w:right w:color="000000" w:space="0" w:sz="5" w:val="single"/>
                </w:tcBorders>
                <w:shd w:fill="dfe6f7" w:val="clear"/>
                <w:tcMar>
                  <w:top w:w="20.0" w:type="dxa"/>
                  <w:left w:w="100.0" w:type="dxa"/>
                  <w:bottom w:w="20.0" w:type="dxa"/>
                  <w:right w:w="100.0" w:type="dxa"/>
                </w:tcMar>
                <w:vAlign w:val="center"/>
              </w:tcPr>
              <w:p w:rsidR="00000000" w:rsidDel="00000000" w:rsidP="00000000" w:rsidRDefault="00000000" w:rsidRPr="00000000" w14:paraId="00000016">
                <w:pPr>
                  <w:widowControl w:val="1"/>
                  <w:spacing w:after="0" w:before="0"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Venue</w:t>
                </w:r>
              </w:p>
            </w:tc>
            <w:tc>
              <w:tcPr>
                <w:gridSpan w:val="2"/>
                <w:tcBorders>
                  <w:top w:color="000000" w:space="0" w:sz="5" w:val="single"/>
                  <w:left w:color="000000" w:space="0" w:sz="5" w:val="single"/>
                  <w:bottom w:color="000000" w:space="0" w:sz="5" w:val="single"/>
                  <w:right w:color="000000" w:space="0" w:sz="5" w:val="single"/>
                </w:tcBorders>
                <w:shd w:fill="auto" w:val="clear"/>
                <w:tcMar>
                  <w:top w:w="20.0" w:type="dxa"/>
                  <w:left w:w="100.0" w:type="dxa"/>
                  <w:bottom w:w="20.0" w:type="dxa"/>
                  <w:right w:w="100.0" w:type="dxa"/>
                </w:tcMar>
                <w:vAlign w:val="center"/>
              </w:tcPr>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Yonsei University (Sinchon Campus, Seoul, Korea) &amp; Online</w:t>
                </w:r>
              </w:p>
            </w:tc>
          </w:tr>
          <w:tr>
            <w:trPr>
              <w:cantSplit w:val="0"/>
              <w:trHeight w:val="20.728034812242925" w:hRule="atLeast"/>
              <w:tblHeader w:val="0"/>
            </w:trPr>
            <w:tc>
              <w:tcPr>
                <w:tcBorders>
                  <w:top w:color="000000" w:space="0" w:sz="5" w:val="single"/>
                  <w:left w:color="000000" w:space="0" w:sz="5" w:val="single"/>
                  <w:bottom w:color="000000" w:space="0" w:sz="5" w:val="single"/>
                  <w:right w:color="000000" w:space="0" w:sz="5" w:val="single"/>
                </w:tcBorders>
                <w:shd w:fill="dfe6f7" w:val="clear"/>
                <w:tcMar>
                  <w:top w:w="20.0" w:type="dxa"/>
                  <w:left w:w="100.0" w:type="dxa"/>
                  <w:bottom w:w="20.0" w:type="dxa"/>
                  <w:right w:w="100.0" w:type="dxa"/>
                </w:tcMar>
                <w:vAlign w:val="center"/>
              </w:tcPr>
              <w:p w:rsidR="00000000" w:rsidDel="00000000" w:rsidP="00000000" w:rsidRDefault="00000000" w:rsidRPr="00000000" w14:paraId="00000019">
                <w:pPr>
                  <w:widowControl w:val="1"/>
                  <w:spacing w:after="0" w:before="0"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Audience</w:t>
                </w:r>
              </w:p>
            </w:tc>
            <w:tc>
              <w:tcPr>
                <w:gridSpan w:val="2"/>
                <w:tcBorders>
                  <w:top w:color="000000" w:space="0" w:sz="5" w:val="single"/>
                  <w:left w:color="000000" w:space="0" w:sz="5" w:val="single"/>
                  <w:bottom w:color="000000" w:space="0" w:sz="5" w:val="single"/>
                  <w:right w:color="000000" w:space="0" w:sz="5" w:val="single"/>
                </w:tcBorders>
                <w:shd w:fill="auto" w:val="clear"/>
                <w:tcMar>
                  <w:top w:w="20.0" w:type="dxa"/>
                  <w:left w:w="100.0" w:type="dxa"/>
                  <w:bottom w:w="20.0" w:type="dxa"/>
                  <w:right w:w="100.0" w:type="dxa"/>
                </w:tcMar>
                <w:vAlign w:val="center"/>
              </w:tcPr>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Approximately 2,000 attendees from 26 countries (2025)</w:t>
                </w:r>
              </w:p>
            </w:tc>
          </w:tr>
          <w:tr>
            <w:trPr>
              <w:cantSplit w:val="0"/>
              <w:trHeight w:val="335.92529296875006" w:hRule="atLeast"/>
              <w:tblHeader w:val="0"/>
            </w:trPr>
            <w:tc>
              <w:tcPr>
                <w:tcBorders>
                  <w:top w:color="000000" w:space="0" w:sz="5" w:val="single"/>
                  <w:left w:color="000000" w:space="0" w:sz="5" w:val="single"/>
                  <w:bottom w:color="000000" w:space="0" w:sz="5" w:val="single"/>
                  <w:right w:color="000000" w:space="0" w:sz="5" w:val="single"/>
                </w:tcBorders>
                <w:shd w:fill="dfe6f7" w:val="clear"/>
                <w:tcMar>
                  <w:top w:w="20.0" w:type="dxa"/>
                  <w:left w:w="100.0" w:type="dxa"/>
                  <w:bottom w:w="20.0" w:type="dxa"/>
                  <w:right w:w="100.0" w:type="dxa"/>
                </w:tcMar>
                <w:vAlign w:val="center"/>
              </w:tcPr>
              <w:p w:rsidR="00000000" w:rsidDel="00000000" w:rsidP="00000000" w:rsidRDefault="00000000" w:rsidRPr="00000000" w14:paraId="0000001C">
                <w:pPr>
                  <w:widowControl w:val="1"/>
                  <w:spacing w:after="0" w:before="0"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On-Air</w:t>
                </w:r>
              </w:p>
            </w:tc>
            <w:tc>
              <w:tcPr>
                <w:gridSpan w:val="2"/>
                <w:tcBorders>
                  <w:top w:color="000000" w:space="0" w:sz="5" w:val="single"/>
                  <w:left w:color="000000" w:space="0" w:sz="5" w:val="single"/>
                  <w:bottom w:color="000000" w:space="0" w:sz="5" w:val="single"/>
                  <w:right w:color="000000" w:space="0" w:sz="5" w:val="single"/>
                </w:tcBorders>
                <w:shd w:fill="auto" w:val="clear"/>
                <w:tcMar>
                  <w:top w:w="20.0" w:type="dxa"/>
                  <w:left w:w="100.0" w:type="dxa"/>
                  <w:bottom w:w="20.0" w:type="dxa"/>
                  <w:right w:w="100.0" w:type="dxa"/>
                </w:tcMar>
                <w:vAlign w:val="center"/>
              </w:tcPr>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hyperlink r:id="rId7">
                  <w:r w:rsidDel="00000000" w:rsidR="00000000" w:rsidRPr="00000000">
                    <w:rPr>
                      <w:rFonts w:ascii="Arial" w:cs="Arial" w:eastAsia="Arial" w:hAnsi="Arial"/>
                      <w:sz w:val="22"/>
                      <w:szCs w:val="22"/>
                      <w:u w:val="single"/>
                      <w:rtl w:val="0"/>
                    </w:rPr>
                    <w:t xml:space="preserve">IGEE at Yonsei University Official YouTube Channel</w:t>
                  </w:r>
                </w:hyperlink>
                <w:r w:rsidDel="00000000" w:rsidR="00000000" w:rsidRPr="00000000">
                  <w:rPr>
                    <w:rtl w:val="0"/>
                  </w:rPr>
                </w:r>
              </w:p>
            </w:tc>
          </w:tr>
          <w:tr>
            <w:trPr>
              <w:cantSplit w:val="0"/>
              <w:trHeight w:val="20.728034812242925" w:hRule="atLeast"/>
              <w:tblHeader w:val="0"/>
            </w:trPr>
            <w:tc>
              <w:tcPr>
                <w:tcBorders>
                  <w:top w:color="000000" w:space="0" w:sz="5" w:val="single"/>
                  <w:left w:color="000000" w:space="0" w:sz="5" w:val="single"/>
                  <w:bottom w:color="000000" w:space="0" w:sz="5" w:val="single"/>
                  <w:right w:color="000000" w:space="0" w:sz="5" w:val="single"/>
                </w:tcBorders>
                <w:shd w:fill="dfe6f7" w:val="clear"/>
                <w:tcMar>
                  <w:top w:w="20.0" w:type="dxa"/>
                  <w:left w:w="100.0" w:type="dxa"/>
                  <w:bottom w:w="20.0" w:type="dxa"/>
                  <w:right w:w="100.0" w:type="dxa"/>
                </w:tcMar>
                <w:vAlign w:val="center"/>
              </w:tcPr>
              <w:p w:rsidR="00000000" w:rsidDel="00000000" w:rsidP="00000000" w:rsidRDefault="00000000" w:rsidRPr="00000000" w14:paraId="0000001F">
                <w:pPr>
                  <w:widowControl w:val="1"/>
                  <w:spacing w:after="0" w:before="0" w:line="240" w:lineRule="auto"/>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Language</w:t>
                </w:r>
              </w:p>
            </w:tc>
            <w:tc>
              <w:tcPr>
                <w:gridSpan w:val="2"/>
                <w:tcBorders>
                  <w:top w:color="000000" w:space="0" w:sz="5" w:val="single"/>
                  <w:left w:color="000000" w:space="0" w:sz="5" w:val="single"/>
                  <w:bottom w:color="000000" w:space="0" w:sz="5" w:val="single"/>
                  <w:right w:color="000000" w:space="0" w:sz="5" w:val="single"/>
                </w:tcBorders>
                <w:shd w:fill="auto" w:val="clear"/>
                <w:tcMar>
                  <w:top w:w="20.0" w:type="dxa"/>
                  <w:left w:w="100.0" w:type="dxa"/>
                  <w:bottom w:w="20.0" w:type="dxa"/>
                  <w:right w:w="100.0" w:type="dxa"/>
                </w:tcMar>
                <w:vAlign w:val="center"/>
              </w:tcPr>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Korean/English (Interpretation services provided for all sessions) </w:t>
                </w:r>
              </w:p>
            </w:tc>
          </w:tr>
        </w:tbl>
      </w:sdtContent>
    </w:sdt>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280" w:line="240" w:lineRule="auto"/>
        <w:ind w:left="65.94482421875" w:right="0" w:firstLine="0"/>
        <w:jc w:val="left"/>
        <w:rPr>
          <w:rFonts w:ascii="Arial" w:cs="Arial" w:eastAsia="Arial" w:hAnsi="Arial"/>
          <w:sz w:val="22"/>
          <w:szCs w:val="22"/>
        </w:rPr>
      </w:pPr>
      <w:bookmarkStart w:colFirst="0" w:colLast="0" w:name="_heading=h.bclj49q7jmd6" w:id="1"/>
      <w:bookmarkEnd w:id="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Background &amp; Rationale:</w:t>
      </w:r>
      <w:r w:rsidDel="00000000" w:rsidR="00000000" w:rsidRPr="00000000">
        <w:rPr>
          <w:rtl w:val="0"/>
        </w:rPr>
      </w:r>
    </w:p>
    <w:sdt>
      <w:sdtPr>
        <w:lock w:val="contentLocked"/>
        <w:tag w:val="goog_rdk_1"/>
      </w:sdtPr>
      <w:sdtContent>
        <w:tbl>
          <w:tblPr>
            <w:tblStyle w:val="Table3"/>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rHeight w:val="2724.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1"/>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18"/>
                    <w:szCs w:val="18"/>
                    <w:rtl w:val="0"/>
                  </w:rPr>
                  <w:t xml:space="preserve">  </w:t>
                </w:r>
                <w:r w:rsidDel="00000000" w:rsidR="00000000" w:rsidRPr="00000000">
                  <w:rPr>
                    <w:rFonts w:ascii="Arial" w:cs="Arial" w:eastAsia="Arial" w:hAnsi="Arial"/>
                    <w:sz w:val="22"/>
                    <w:szCs w:val="22"/>
                    <w:rtl w:val="0"/>
                  </w:rPr>
                  <w:t xml:space="preserve">A fully operational, error-correcting, and commercially viable quantum computer has the potential to revolutionize research and business operations, particularly in achieving key </w:t>
                </w:r>
                <w:r w:rsidDel="00000000" w:rsidR="00000000" w:rsidRPr="00000000">
                  <w:rPr>
                    <w:rFonts w:ascii="Arial" w:cs="Arial" w:eastAsia="Arial" w:hAnsi="Arial"/>
                    <w:sz w:val="22"/>
                    <w:szCs w:val="22"/>
                    <w:u w:val="single"/>
                    <w:rtl w:val="0"/>
                  </w:rPr>
                  <w:t xml:space="preserve">Sustainable Development Goals (SDGs)</w:t>
                </w:r>
                <w:r w:rsidDel="00000000" w:rsidR="00000000" w:rsidRPr="00000000">
                  <w:rPr>
                    <w:rFonts w:ascii="Arial" w:cs="Arial" w:eastAsia="Arial" w:hAnsi="Arial"/>
                    <w:sz w:val="22"/>
                    <w:szCs w:val="22"/>
                    <w:rtl w:val="0"/>
                  </w:rPr>
                  <w:t xml:space="preserve"> such as </w:t>
                </w:r>
                <w:r w:rsidDel="00000000" w:rsidR="00000000" w:rsidRPr="00000000">
                  <w:rPr>
                    <w:rFonts w:ascii="Arial" w:cs="Arial" w:eastAsia="Arial" w:hAnsi="Arial"/>
                    <w:sz w:val="22"/>
                    <w:szCs w:val="22"/>
                    <w:u w:val="single"/>
                    <w:rtl w:val="0"/>
                  </w:rPr>
                  <w:t xml:space="preserve">SDG 3 (Good Health and Well-Being), SDG 7 (Affordable and Clean Energy), and SDG 9 (Industry, Innovation, and Infrastructure)</w:t>
                </w:r>
                <w:r w:rsidDel="00000000" w:rsidR="00000000" w:rsidRPr="00000000">
                  <w:rPr>
                    <w:rFonts w:ascii="Arial" w:cs="Arial" w:eastAsia="Arial" w:hAnsi="Arial"/>
                    <w:sz w:val="22"/>
                    <w:szCs w:val="22"/>
                    <w:rtl w:val="0"/>
                  </w:rPr>
                  <w:t xml:space="preserve">. By leveraging quantum mechanics, quantum computers can process massive datasets, optimize complex systems, and simulate molecular interactions with unprecedented speed and precision, driving breakthroughs in these critical areas.</w:t>
                </w:r>
              </w:p>
              <w:p w:rsidR="00000000" w:rsidDel="00000000" w:rsidP="00000000" w:rsidRDefault="00000000" w:rsidRPr="00000000" w14:paraId="00000024">
                <w:pPr>
                  <w:widowControl w:val="1"/>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In the </w:t>
                </w:r>
                <w:r w:rsidDel="00000000" w:rsidR="00000000" w:rsidRPr="00000000">
                  <w:rPr>
                    <w:rFonts w:ascii="Arial" w:cs="Arial" w:eastAsia="Arial" w:hAnsi="Arial"/>
                    <w:sz w:val="22"/>
                    <w:szCs w:val="22"/>
                    <w:u w:val="single"/>
                    <w:rtl w:val="0"/>
                  </w:rPr>
                  <w:t xml:space="preserve">domain of health and well-being (SDG 3</w:t>
                </w:r>
                <w:r w:rsidDel="00000000" w:rsidR="00000000" w:rsidRPr="00000000">
                  <w:rPr>
                    <w:rFonts w:ascii="Arial" w:cs="Arial" w:eastAsia="Arial" w:hAnsi="Arial"/>
                    <w:sz w:val="22"/>
                    <w:szCs w:val="22"/>
                    <w:rtl w:val="0"/>
                  </w:rPr>
                  <w:t xml:space="preserve">), quantum computing can transform the pharmaceutical industry and medical research. Quantum algorithms excel in simulating molecular interactions, allowing researchers to analyze drug-protein binding at an atomic level. This capability can accelerate drug discovery by identifying promising candidates far faster than classical methods, reducing development timelines from decades to mere years. Moreover, quantum-enhanced machine learning can analyze large-scale genomic data, enabling the development of personalized medicine tailored to individual genetic profiles. It can also improve early disease detection by analyzing patterns in medical imaging or sensor data with extreme accuracy, supporting more effective and timely interventions.</w:t>
                </w:r>
              </w:p>
              <w:p w:rsidR="00000000" w:rsidDel="00000000" w:rsidP="00000000" w:rsidRDefault="00000000" w:rsidRPr="00000000" w14:paraId="00000025">
                <w:pPr>
                  <w:widowControl w:val="1"/>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For </w:t>
                </w:r>
                <w:r w:rsidDel="00000000" w:rsidR="00000000" w:rsidRPr="00000000">
                  <w:rPr>
                    <w:rFonts w:ascii="Arial" w:cs="Arial" w:eastAsia="Arial" w:hAnsi="Arial"/>
                    <w:sz w:val="22"/>
                    <w:szCs w:val="22"/>
                    <w:u w:val="single"/>
                    <w:rtl w:val="0"/>
                  </w:rPr>
                  <w:t xml:space="preserve">affordable and clean energy (SDG 7)</w:t>
                </w:r>
                <w:r w:rsidDel="00000000" w:rsidR="00000000" w:rsidRPr="00000000">
                  <w:rPr>
                    <w:rFonts w:ascii="Arial" w:cs="Arial" w:eastAsia="Arial" w:hAnsi="Arial"/>
                    <w:sz w:val="22"/>
                    <w:szCs w:val="22"/>
                    <w:rtl w:val="0"/>
                  </w:rPr>
                  <w:t xml:space="preserve">, quantum computers can play a pivotal role in advancing renewable energy technologies and optimizing energy systems. They can model and identify novel materials for high-efficiency solar panels or next-generation batteries, such as solid-state or quantum dot-based designs. These materials have complex properties that are difficult to simulate using classical computers, but quantum systems can handle their intricacies with ease. Additionally, quantum optimization algorithms can enhance the efficiency of power grids, balancing supply and demand dynamically in systems increasingly reliant on intermittent renewable energy sources like wind and solar. This optimization minimizes energy wastage, reduces costs, and supports the transition to cleaner energy systems. Quantum solutions can also streamline logistics for fuel supply chains, ensuring that clean energy reaches underserved areas efficiently.</w:t>
                </w:r>
              </w:p>
              <w:p w:rsidR="00000000" w:rsidDel="00000000" w:rsidP="00000000" w:rsidRDefault="00000000" w:rsidRPr="00000000" w14:paraId="00000026">
                <w:pPr>
                  <w:widowControl w:val="1"/>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In the realm of</w:t>
                </w:r>
                <w:r w:rsidDel="00000000" w:rsidR="00000000" w:rsidRPr="00000000">
                  <w:rPr>
                    <w:rFonts w:ascii="Arial" w:cs="Arial" w:eastAsia="Arial" w:hAnsi="Arial"/>
                    <w:sz w:val="22"/>
                    <w:szCs w:val="22"/>
                    <w:u w:val="single"/>
                    <w:rtl w:val="0"/>
                  </w:rPr>
                  <w:t xml:space="preserve"> industry, innovation, and infrastructure (SDG 9),</w:t>
                </w:r>
                <w:r w:rsidDel="00000000" w:rsidR="00000000" w:rsidRPr="00000000">
                  <w:rPr>
                    <w:rFonts w:ascii="Arial" w:cs="Arial" w:eastAsia="Arial" w:hAnsi="Arial"/>
                    <w:sz w:val="22"/>
                    <w:szCs w:val="22"/>
                    <w:rtl w:val="0"/>
                  </w:rPr>
                  <w:t xml:space="preserve"> quantum computing can redefine how businesses and governments design and manage infrastructure. For example, quantum-enabled optimization can streamline logistics and transportation systems, identifying the most efficient routes and reducing emissions and costs in global supply chains. Quantum simulations can also aid in the development of stronger, lighter, and more sustainable materials for construction, aerospace, and automotive industries. Furthermore, quantum-enhanced artificial intelligence can optimize manufacturing processes, leading to smarter factories that consume fewer resources and produce less waste. These advancements align with the goals of building resilient infrastructure and fostering sustainable industrialization.</w:t>
                </w:r>
              </w:p>
              <w:p w:rsidR="00000000" w:rsidDel="00000000" w:rsidP="00000000" w:rsidRDefault="00000000" w:rsidRPr="00000000" w14:paraId="00000027">
                <w:pPr>
                  <w:widowControl w:val="1"/>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In summary, quantum computers hold immense promise for addressing some of humanity's most pressing challenges. Their ability to solve complex problems faster and more effectively than classical computers can accelerate progress toward achieving SDG 3, SDG 7, and SDG 9. By driving innovation in health, energy, and industrial systems, quantum technology can contribute to a sustainable, equitable, and prosperous future. Collaboration between governments, industries, and academia will be critical in harnessing this transformative technology for maximum societal impact.</w:t>
                </w:r>
              </w:p>
            </w:tc>
          </w:tr>
        </w:tbl>
      </w:sdtContent>
    </w:sdt>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80" w:before="280" w:line="240" w:lineRule="auto"/>
        <w:ind w:left="65.94482421875" w:right="0" w:firstLine="0"/>
        <w:jc w:val="left"/>
        <w:rPr>
          <w:rFonts w:ascii="Arial" w:cs="Arial" w:eastAsia="Arial" w:hAnsi="Arial"/>
          <w:sz w:val="22"/>
          <w:szCs w:val="22"/>
        </w:rPr>
      </w:pPr>
      <w:bookmarkStart w:colFirst="0" w:colLast="0" w:name="_heading=h.6tost358ibbg" w:id="2"/>
      <w:bookmarkEnd w:id="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Session </w:t>
      </w:r>
      <w:r w:rsidDel="00000000" w:rsidR="00000000" w:rsidRPr="00000000">
        <w:rPr>
          <w:rFonts w:ascii="Arial" w:cs="Arial" w:eastAsia="Arial" w:hAnsi="Arial"/>
          <w:b w:val="1"/>
          <w:sz w:val="22"/>
          <w:szCs w:val="22"/>
          <w:rtl w:val="0"/>
        </w:rPr>
        <w:t xml:space="preserve">Objectives</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t>
      </w:r>
      <w:r w:rsidDel="00000000" w:rsidR="00000000" w:rsidRPr="00000000">
        <w:rPr>
          <w:rtl w:val="0"/>
        </w:rPr>
      </w:r>
    </w:p>
    <w:sdt>
      <w:sdtPr>
        <w:lock w:val="contentLocked"/>
        <w:tag w:val="goog_rdk_2"/>
      </w:sdtPr>
      <w:sdtContent>
        <w:tbl>
          <w:tblPr>
            <w:tblStyle w:val="Table4"/>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The </w:t>
                </w:r>
                <w:r w:rsidDel="00000000" w:rsidR="00000000" w:rsidRPr="00000000">
                  <w:rPr>
                    <w:rFonts w:ascii="Arial" w:cs="Arial" w:eastAsia="Arial" w:hAnsi="Arial"/>
                    <w:i w:val="1"/>
                    <w:sz w:val="22"/>
                    <w:szCs w:val="22"/>
                    <w:rtl w:val="0"/>
                  </w:rPr>
                  <w:t xml:space="preserve">Quantum Technology for SDGs</w:t>
                </w:r>
                <w:r w:rsidDel="00000000" w:rsidR="00000000" w:rsidRPr="00000000">
                  <w:rPr>
                    <w:rFonts w:ascii="Arial" w:cs="Arial" w:eastAsia="Arial" w:hAnsi="Arial"/>
                    <w:sz w:val="22"/>
                    <w:szCs w:val="22"/>
                    <w:rtl w:val="0"/>
                  </w:rPr>
                  <w:t xml:space="preserve"> session at the upcoming forum aims to explore the transformative potential of quantum technologies in addressing global challenges aligned with the Sustainable Development Goals (SDGs). The session will provide a forward-looking perspective on how fully operational, error-correcting quantum computers could revolutionize research and business operations in critical areas such as health, energy, and infrastructure.</w:t>
                </w:r>
              </w:p>
              <w:p w:rsidR="00000000" w:rsidDel="00000000" w:rsidP="00000000" w:rsidRDefault="00000000" w:rsidRPr="00000000" w14:paraId="0000002A">
                <w:pPr>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Key objectives include examining quantum computing’s capacity to accelerate drug discovery, personalized medicine research, and enhance early disease detection, aligning with </w:t>
                </w:r>
                <w:r w:rsidDel="00000000" w:rsidR="00000000" w:rsidRPr="00000000">
                  <w:rPr>
                    <w:rFonts w:ascii="Arial" w:cs="Arial" w:eastAsia="Arial" w:hAnsi="Arial"/>
                    <w:b w:val="1"/>
                    <w:sz w:val="22"/>
                    <w:szCs w:val="22"/>
                    <w:rtl w:val="0"/>
                  </w:rPr>
                  <w:t xml:space="preserve">SDG 3 (Good Health and Well-Being)</w:t>
                </w:r>
                <w:r w:rsidDel="00000000" w:rsidR="00000000" w:rsidRPr="00000000">
                  <w:rPr>
                    <w:rFonts w:ascii="Arial" w:cs="Arial" w:eastAsia="Arial" w:hAnsi="Arial"/>
                    <w:sz w:val="22"/>
                    <w:szCs w:val="22"/>
                    <w:rtl w:val="0"/>
                  </w:rPr>
                  <w:t xml:space="preserve">. The session will also delve into how quantum algorithms can drive advancements in renewable energy systems, optimize power grids, and discover novel materials for energy storage and generation, contributing to </w:t>
                </w:r>
                <w:r w:rsidDel="00000000" w:rsidR="00000000" w:rsidRPr="00000000">
                  <w:rPr>
                    <w:rFonts w:ascii="Arial" w:cs="Arial" w:eastAsia="Arial" w:hAnsi="Arial"/>
                    <w:b w:val="1"/>
                    <w:sz w:val="22"/>
                    <w:szCs w:val="22"/>
                    <w:rtl w:val="0"/>
                  </w:rPr>
                  <w:t xml:space="preserve">SDG 7 (Affordable and Clean Energy)</w:t>
                </w:r>
                <w:r w:rsidDel="00000000" w:rsidR="00000000" w:rsidRPr="00000000">
                  <w:rPr>
                    <w:rFonts w:ascii="Arial" w:cs="Arial" w:eastAsia="Arial" w:hAnsi="Arial"/>
                    <w:sz w:val="22"/>
                    <w:szCs w:val="22"/>
                    <w:rtl w:val="0"/>
                  </w:rPr>
                  <w:t xml:space="preserve">. Furthermore, participants will discuss how quantum optimization and simulation can reshape industries, streamline global supply chains, and foster sustainable infrastructure development, supporting </w:t>
                </w:r>
                <w:r w:rsidDel="00000000" w:rsidR="00000000" w:rsidRPr="00000000">
                  <w:rPr>
                    <w:rFonts w:ascii="Arial" w:cs="Arial" w:eastAsia="Arial" w:hAnsi="Arial"/>
                    <w:b w:val="1"/>
                    <w:sz w:val="22"/>
                    <w:szCs w:val="22"/>
                    <w:rtl w:val="0"/>
                  </w:rPr>
                  <w:t xml:space="preserve">SDG 9 (Industry, Innovation, and Infrastructure)</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02B">
                <w:pPr>
                  <w:spacing w:after="240" w:before="24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This session will foster interdisciplinary dialogue among researchers, policymakers, and industry leaders, highlighting the importance of collaboration in harnessing quantum computing's transformative potential. Attendees will gain insights into emerging breakthroughs, ethical considerations, and the roadmap for realizing quantum technologies' vast societal benefits.</w:t>
                </w:r>
              </w:p>
            </w:tc>
          </w:tr>
        </w:tbl>
      </w:sdtContent>
    </w:sdt>
    <w:p w:rsidR="00000000" w:rsidDel="00000000" w:rsidP="00000000" w:rsidRDefault="00000000" w:rsidRPr="00000000" w14:paraId="0000002C">
      <w:pPr>
        <w:spacing w:after="240" w:before="0" w:line="240"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2D">
      <w:pPr>
        <w:spacing w:after="240" w:before="0" w:line="240"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2E">
      <w:pPr>
        <w:spacing w:after="240" w:before="0" w:line="240"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2F">
      <w:pPr>
        <w:spacing w:after="240" w:before="0" w:line="240"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30">
      <w:pPr>
        <w:spacing w:after="240" w:before="0" w:line="240"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31">
      <w:pPr>
        <w:spacing w:after="240" w:before="0" w:line="240"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32">
      <w:pPr>
        <w:spacing w:after="240" w:before="0" w:line="240"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33">
      <w:pPr>
        <w:spacing w:after="240" w:before="0" w:line="240"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34">
      <w:pPr>
        <w:spacing w:after="240" w:before="0" w:line="240"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35">
      <w:pPr>
        <w:spacing w:after="240" w:before="0" w:line="240"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36">
      <w:pPr>
        <w:spacing w:after="240" w:before="0" w:line="240"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37">
      <w:pPr>
        <w:spacing w:after="240" w:before="0" w:line="240" w:lineRule="auto"/>
        <w:jc w:val="left"/>
        <w:rPr>
          <w:rFonts w:ascii="Arial" w:cs="Arial" w:eastAsia="Arial" w:hAnsi="Arial"/>
          <w:b w:val="1"/>
          <w:sz w:val="22"/>
          <w:szCs w:val="22"/>
        </w:rPr>
      </w:pPr>
      <w:r w:rsidDel="00000000" w:rsidR="00000000" w:rsidRPr="00000000">
        <w:rPr>
          <w:rtl w:val="0"/>
        </w:rPr>
      </w:r>
    </w:p>
    <w:sectPr>
      <w:headerReference r:id="rId8" w:type="default"/>
      <w:footerReference r:id="rId9" w:type="default"/>
      <w:pgSz w:h="16838" w:w="11906" w:orient="portrait"/>
      <w:pgMar w:bottom="1440" w:top="1440" w:left="1440" w:right="1440" w:header="568"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Malgun Gothic"/>
  <w:font w:name="Georgia"/>
  <w:font w:name="Arial"/>
  <w:font w:name="Times New Roman"/>
  <w:font w:name="Noto Sans KR">
    <w:embedRegular w:fontKey="{00000000-0000-0000-0000-000000000000}" r:id="rId1" w:subsetted="0"/>
    <w:embedBold w:fontKey="{00000000-0000-0000-0000-000000000000}" r:id="rId2" w:subsetted="0"/>
  </w:font>
  <w:font w:name="Arial Black">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9">
    <w:pPr>
      <w:pBdr>
        <w:top w:space="0" w:sz="0" w:val="nil"/>
        <w:left w:space="0" w:sz="0" w:val="nil"/>
        <w:bottom w:space="0" w:sz="0" w:val="nil"/>
        <w:right w:space="0" w:sz="0" w:val="nil"/>
        <w:between w:space="0" w:sz="0" w:val="nil"/>
      </w:pBdr>
      <w:tabs>
        <w:tab w:val="center" w:leader="none" w:pos="4513"/>
        <w:tab w:val="right" w:leader="none" w:pos="9026"/>
      </w:tabs>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1"/>
        <w:color w:val="000000"/>
        <w:rtl w:val="0"/>
      </w:rPr>
      <w:tab/>
      <w:tab/>
      <w:t xml:space="preserve">igee@yonsei.ac.kr</w:t>
    </w:r>
  </w:p>
  <w:p w:rsidR="00000000" w:rsidDel="00000000" w:rsidP="00000000" w:rsidRDefault="00000000" w:rsidRPr="00000000" w14:paraId="0000003A">
    <w:pPr>
      <w:pBdr>
        <w:top w:space="0" w:sz="0" w:val="nil"/>
        <w:left w:space="0" w:sz="0" w:val="nil"/>
        <w:bottom w:space="0" w:sz="0" w:val="nil"/>
        <w:right w:space="0" w:sz="0" w:val="nil"/>
        <w:between w:space="0" w:sz="0" w:val="nil"/>
      </w:pBdr>
      <w:tabs>
        <w:tab w:val="center" w:leader="none" w:pos="4513"/>
        <w:tab w:val="right" w:leader="none" w:pos="9026"/>
      </w:tabs>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8">
    <w:pPr>
      <w:pBdr>
        <w:top w:space="0" w:sz="0" w:val="nil"/>
        <w:left w:space="0" w:sz="0" w:val="nil"/>
        <w:bottom w:space="0" w:sz="0" w:val="nil"/>
        <w:right w:space="0" w:sz="0" w:val="nil"/>
        <w:between w:space="0" w:sz="0" w:val="nil"/>
      </w:pBdr>
      <w:tabs>
        <w:tab w:val="center" w:leader="none" w:pos="4513"/>
        <w:tab w:val="right" w:leader="none" w:pos="9026"/>
        <w:tab w:val="left" w:leader="none" w:pos="2925"/>
      </w:tabs>
      <w:ind w:right="-188"/>
      <w:jc w:val="center"/>
      <w:rPr>
        <w:b w:val="1"/>
        <w:color w:val="000000"/>
      </w:rPr>
    </w:pPr>
    <w:r w:rsidDel="00000000" w:rsidR="00000000" w:rsidRPr="00000000">
      <w:rPr>
        <w:color w:val="000000"/>
      </w:rPr>
      <w:drawing>
        <wp:inline distB="0" distT="0" distL="0" distR="0">
          <wp:extent cx="790575" cy="533400"/>
          <wp:effectExtent b="0" l="0" r="0" t="0"/>
          <wp:docPr descr="영문_하단국문_반기문재단_로고 (1)" id="93" name="image2.png"/>
          <a:graphic>
            <a:graphicData uri="http://schemas.openxmlformats.org/drawingml/2006/picture">
              <pic:pic>
                <pic:nvPicPr>
                  <pic:cNvPr descr="영문_하단국문_반기문재단_로고 (1)" id="0" name="image2.png"/>
                  <pic:cNvPicPr preferRelativeResize="0"/>
                </pic:nvPicPr>
                <pic:blipFill>
                  <a:blip r:embed="rId1"/>
                  <a:srcRect b="0" l="0" r="0" t="0"/>
                  <a:stretch>
                    <a:fillRect/>
                  </a:stretch>
                </pic:blipFill>
                <pic:spPr>
                  <a:xfrm>
                    <a:off x="0" y="0"/>
                    <a:ext cx="790575" cy="533400"/>
                  </a:xfrm>
                  <a:prstGeom prst="rect"/>
                  <a:ln/>
                </pic:spPr>
              </pic:pic>
            </a:graphicData>
          </a:graphic>
        </wp:inline>
      </w:drawing>
    </w:r>
    <w:r w:rsidDel="00000000" w:rsidR="00000000" w:rsidRPr="00000000">
      <w:rPr>
        <w:b w:val="1"/>
        <w:color w:val="000000"/>
        <w:rtl w:val="0"/>
      </w:rPr>
      <w:t xml:space="preserve"> </w:t>
    </w:r>
    <w:r w:rsidDel="00000000" w:rsidR="00000000" w:rsidRPr="00000000">
      <w:rPr>
        <w:color w:val="000000"/>
      </w:rPr>
      <w:drawing>
        <wp:inline distB="0" distT="0" distL="0" distR="0">
          <wp:extent cx="2798575" cy="409344"/>
          <wp:effectExtent b="0" l="0" r="0" t="0"/>
          <wp:docPr descr="C:\Users\공용\AppData\Local\Microsoft\Windows\INetCache\Content.Word\그림1.png" id="95" name="image1.png"/>
          <a:graphic>
            <a:graphicData uri="http://schemas.openxmlformats.org/drawingml/2006/picture">
              <pic:pic>
                <pic:nvPicPr>
                  <pic:cNvPr descr="C:\Users\공용\AppData\Local\Microsoft\Windows\INetCache\Content.Word\그림1.png" id="0" name="image1.png"/>
                  <pic:cNvPicPr preferRelativeResize="0"/>
                </pic:nvPicPr>
                <pic:blipFill>
                  <a:blip r:embed="rId2"/>
                  <a:srcRect b="16700" l="0" r="0" t="16580"/>
                  <a:stretch>
                    <a:fillRect/>
                  </a:stretch>
                </pic:blipFill>
                <pic:spPr>
                  <a:xfrm>
                    <a:off x="0" y="0"/>
                    <a:ext cx="2798575" cy="409344"/>
                  </a:xfrm>
                  <a:prstGeom prst="rect"/>
                  <a:ln/>
                </pic:spPr>
              </pic:pic>
            </a:graphicData>
          </a:graphic>
        </wp:inline>
      </w:drawing>
    </w:r>
    <w:r w:rsidDel="00000000" w:rsidR="00000000" w:rsidRPr="00000000">
      <w:rPr>
        <w:b w:val="1"/>
        <w:color w:val="000000"/>
        <w:rtl w:val="0"/>
      </w:rPr>
      <w:t xml:space="preserve"> </w:t>
    </w:r>
    <w:r w:rsidDel="00000000" w:rsidR="00000000" w:rsidRPr="00000000">
      <w:rPr>
        <w:color w:val="000000"/>
      </w:rPr>
      <w:drawing>
        <wp:inline distB="0" distT="0" distL="0" distR="0">
          <wp:extent cx="1757732" cy="444527"/>
          <wp:effectExtent b="0" l="0" r="0" t="0"/>
          <wp:docPr descr="C:\Users\user\AppData\Local\Microsoft\Windows\INetCache\Content.Word\반기문비엔나센터 로고.png" id="94" name="image3.png"/>
          <a:graphic>
            <a:graphicData uri="http://schemas.openxmlformats.org/drawingml/2006/picture">
              <pic:pic>
                <pic:nvPicPr>
                  <pic:cNvPr descr="C:\Users\user\AppData\Local\Microsoft\Windows\INetCache\Content.Word\반기문비엔나센터 로고.png" id="0" name="image3.png"/>
                  <pic:cNvPicPr preferRelativeResize="0"/>
                </pic:nvPicPr>
                <pic:blipFill>
                  <a:blip r:embed="rId3"/>
                  <a:srcRect b="0" l="0" r="0" t="0"/>
                  <a:stretch>
                    <a:fillRect/>
                  </a:stretch>
                </pic:blipFill>
                <pic:spPr>
                  <a:xfrm>
                    <a:off x="0" y="0"/>
                    <a:ext cx="1757732" cy="444527"/>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Malgun Gothic" w:cs="Malgun Gothic" w:eastAsia="Malgun Gothic" w:hAnsi="Malgun Gothic"/>
        <w:lang w:val="en-US"/>
      </w:rPr>
    </w:rPrDefault>
    <w:pPrDefault>
      <w:pPr>
        <w:widowControl w:val="0"/>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rsid w:val="00134EE0"/>
    <w:pPr>
      <w:wordWrap w:val="0"/>
      <w:autoSpaceDE w:val="0"/>
      <w:autoSpaceDN w:val="0"/>
    </w:pPr>
  </w:style>
  <w:style w:type="paragraph" w:styleId="1">
    <w:name w:val="heading 1"/>
    <w:basedOn w:val="a"/>
    <w:next w:val="a"/>
    <w:uiPriority w:val="9"/>
    <w:qFormat w:val="1"/>
    <w:pPr>
      <w:keepNext w:val="1"/>
      <w:keepLines w:val="1"/>
      <w:spacing w:after="120" w:before="480"/>
      <w:outlineLvl w:val="0"/>
    </w:pPr>
    <w:rPr>
      <w:b w:val="1"/>
      <w:sz w:val="48"/>
      <w:szCs w:val="48"/>
    </w:rPr>
  </w:style>
  <w:style w:type="paragraph" w:styleId="2">
    <w:name w:val="heading 2"/>
    <w:basedOn w:val="a"/>
    <w:next w:val="a"/>
    <w:uiPriority w:val="9"/>
    <w:semiHidden w:val="1"/>
    <w:unhideWhenUsed w:val="1"/>
    <w:qFormat w:val="1"/>
    <w:pPr>
      <w:keepNext w:val="1"/>
      <w:keepLines w:val="1"/>
      <w:spacing w:after="80" w:before="360"/>
      <w:outlineLvl w:val="1"/>
    </w:pPr>
    <w:rPr>
      <w:b w:val="1"/>
      <w:sz w:val="36"/>
      <w:szCs w:val="36"/>
    </w:rPr>
  </w:style>
  <w:style w:type="paragraph" w:styleId="3">
    <w:name w:val="heading 3"/>
    <w:basedOn w:val="a"/>
    <w:next w:val="a"/>
    <w:uiPriority w:val="9"/>
    <w:semiHidden w:val="1"/>
    <w:unhideWhenUsed w:val="1"/>
    <w:qFormat w:val="1"/>
    <w:pPr>
      <w:keepNext w:val="1"/>
      <w:keepLines w:val="1"/>
      <w:spacing w:after="80" w:before="280"/>
      <w:outlineLvl w:val="2"/>
    </w:pPr>
    <w:rPr>
      <w:b w:val="1"/>
      <w:sz w:val="28"/>
      <w:szCs w:val="28"/>
    </w:rPr>
  </w:style>
  <w:style w:type="paragraph" w:styleId="4">
    <w:name w:val="heading 4"/>
    <w:basedOn w:val="a"/>
    <w:next w:val="a"/>
    <w:uiPriority w:val="9"/>
    <w:semiHidden w:val="1"/>
    <w:unhideWhenUsed w:val="1"/>
    <w:qFormat w:val="1"/>
    <w:pPr>
      <w:keepNext w:val="1"/>
      <w:keepLines w:val="1"/>
      <w:spacing w:after="40" w:before="240"/>
      <w:outlineLvl w:val="3"/>
    </w:pPr>
    <w:rPr>
      <w:b w:val="1"/>
      <w:sz w:val="24"/>
      <w:szCs w:val="24"/>
    </w:rPr>
  </w:style>
  <w:style w:type="paragraph" w:styleId="5">
    <w:name w:val="heading 5"/>
    <w:basedOn w:val="a"/>
    <w:next w:val="a"/>
    <w:uiPriority w:val="9"/>
    <w:semiHidden w:val="1"/>
    <w:unhideWhenUsed w:val="1"/>
    <w:qFormat w:val="1"/>
    <w:pPr>
      <w:keepNext w:val="1"/>
      <w:keepLines w:val="1"/>
      <w:spacing w:after="40" w:before="220"/>
      <w:outlineLvl w:val="4"/>
    </w:pPr>
    <w:rPr>
      <w:b w:val="1"/>
      <w:sz w:val="22"/>
      <w:szCs w:val="22"/>
    </w:rPr>
  </w:style>
  <w:style w:type="paragraph" w:styleId="6">
    <w:name w:val="heading 6"/>
    <w:basedOn w:val="a"/>
    <w:next w:val="a"/>
    <w:uiPriority w:val="9"/>
    <w:semiHidden w:val="1"/>
    <w:unhideWhenUsed w:val="1"/>
    <w:qFormat w:val="1"/>
    <w:pPr>
      <w:keepNext w:val="1"/>
      <w:keepLines w:val="1"/>
      <w:spacing w:after="40" w:before="200"/>
      <w:outlineLvl w:val="5"/>
    </w:pPr>
    <w:rPr>
      <w:b w:val="1"/>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a3">
    <w:name w:val="Title"/>
    <w:basedOn w:val="a"/>
    <w:next w:val="a"/>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10" w:customStyle="1">
    <w:name w:val="Table Normal1"/>
    <w:tblPr>
      <w:tblCellMar>
        <w:top w:w="0.0" w:type="dxa"/>
        <w:left w:w="0.0" w:type="dxa"/>
        <w:bottom w:w="0.0" w:type="dxa"/>
        <w:right w:w="0.0" w:type="dxa"/>
      </w:tblCellMar>
    </w:tblPr>
  </w:style>
  <w:style w:type="paragraph" w:styleId="a4">
    <w:name w:val="Normal (Web)"/>
    <w:basedOn w:val="a"/>
    <w:uiPriority w:val="99"/>
    <w:semiHidden w:val="1"/>
    <w:unhideWhenUsed w:val="1"/>
    <w:rsid w:val="00EF4FE9"/>
    <w:pPr>
      <w:widowControl w:val="1"/>
      <w:wordWrap w:val="1"/>
      <w:autoSpaceDE w:val="1"/>
      <w:autoSpaceDN w:val="1"/>
      <w:spacing w:after="100" w:afterAutospacing="1" w:before="100" w:beforeAutospacing="1" w:line="240" w:lineRule="auto"/>
      <w:jc w:val="left"/>
    </w:pPr>
    <w:rPr>
      <w:rFonts w:ascii="굴림" w:cs="굴림" w:eastAsia="굴림" w:hAnsi="굴림"/>
      <w:sz w:val="24"/>
      <w:szCs w:val="24"/>
    </w:rPr>
  </w:style>
  <w:style w:type="character" w:styleId="apple-tab-span" w:customStyle="1">
    <w:name w:val="apple-tab-span"/>
    <w:basedOn w:val="a0"/>
    <w:rsid w:val="00EF4FE9"/>
  </w:style>
  <w:style w:type="paragraph" w:styleId="a5">
    <w:name w:val="header"/>
    <w:basedOn w:val="a"/>
    <w:link w:val="Char"/>
    <w:uiPriority w:val="99"/>
    <w:unhideWhenUsed w:val="1"/>
    <w:rsid w:val="0054776C"/>
    <w:pPr>
      <w:tabs>
        <w:tab w:val="center" w:pos="4513"/>
        <w:tab w:val="right" w:pos="9026"/>
      </w:tabs>
      <w:snapToGrid w:val="0"/>
    </w:pPr>
  </w:style>
  <w:style w:type="character" w:styleId="Char" w:customStyle="1">
    <w:name w:val="머리글 Char"/>
    <w:basedOn w:val="a0"/>
    <w:link w:val="a5"/>
    <w:uiPriority w:val="99"/>
    <w:rsid w:val="0054776C"/>
  </w:style>
  <w:style w:type="paragraph" w:styleId="a6">
    <w:name w:val="footer"/>
    <w:basedOn w:val="a"/>
    <w:link w:val="Char0"/>
    <w:uiPriority w:val="99"/>
    <w:unhideWhenUsed w:val="1"/>
    <w:rsid w:val="0054776C"/>
    <w:pPr>
      <w:tabs>
        <w:tab w:val="center" w:pos="4513"/>
        <w:tab w:val="right" w:pos="9026"/>
      </w:tabs>
      <w:snapToGrid w:val="0"/>
    </w:pPr>
  </w:style>
  <w:style w:type="character" w:styleId="Char0" w:customStyle="1">
    <w:name w:val="바닥글 Char"/>
    <w:basedOn w:val="a0"/>
    <w:link w:val="a6"/>
    <w:uiPriority w:val="99"/>
    <w:rsid w:val="0054776C"/>
  </w:style>
  <w:style w:type="paragraph" w:styleId="a7">
    <w:name w:val="List Paragraph"/>
    <w:basedOn w:val="a"/>
    <w:link w:val="Char1"/>
    <w:uiPriority w:val="34"/>
    <w:qFormat w:val="1"/>
    <w:rsid w:val="00661565"/>
    <w:pPr>
      <w:ind w:left="800" w:leftChars="400"/>
    </w:pPr>
  </w:style>
  <w:style w:type="paragraph" w:styleId="a8">
    <w:name w:val="Balloon Text"/>
    <w:basedOn w:val="a"/>
    <w:link w:val="Char2"/>
    <w:uiPriority w:val="99"/>
    <w:semiHidden w:val="1"/>
    <w:unhideWhenUsed w:val="1"/>
    <w:rsid w:val="00F226F8"/>
    <w:pPr>
      <w:spacing w:after="0" w:line="240" w:lineRule="auto"/>
    </w:pPr>
    <w:rPr>
      <w:rFonts w:asciiTheme="majorHAnsi" w:cstheme="majorBidi" w:eastAsiaTheme="majorEastAsia" w:hAnsiTheme="majorHAnsi"/>
      <w:sz w:val="18"/>
      <w:szCs w:val="18"/>
    </w:rPr>
  </w:style>
  <w:style w:type="character" w:styleId="Char2" w:customStyle="1">
    <w:name w:val="풍선 도움말 텍스트 Char"/>
    <w:basedOn w:val="a0"/>
    <w:link w:val="a8"/>
    <w:uiPriority w:val="99"/>
    <w:semiHidden w:val="1"/>
    <w:rsid w:val="00F226F8"/>
    <w:rPr>
      <w:rFonts w:asciiTheme="majorHAnsi" w:cstheme="majorBidi" w:eastAsiaTheme="majorEastAsia" w:hAnsiTheme="majorHAnsi"/>
      <w:sz w:val="18"/>
      <w:szCs w:val="18"/>
    </w:rPr>
  </w:style>
  <w:style w:type="table" w:styleId="a9">
    <w:name w:val="Table Grid"/>
    <w:basedOn w:val="a1"/>
    <w:uiPriority w:val="39"/>
    <w:rsid w:val="00EA7B29"/>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Char1" w:customStyle="1">
    <w:name w:val="목록 단락 Char"/>
    <w:link w:val="a7"/>
    <w:uiPriority w:val="34"/>
    <w:locked w:val="1"/>
    <w:rsid w:val="005D30C7"/>
  </w:style>
  <w:style w:type="character" w:styleId="apple-converted-space" w:customStyle="1">
    <w:name w:val="apple-converted-space"/>
    <w:basedOn w:val="a0"/>
    <w:rsid w:val="00331E45"/>
  </w:style>
  <w:style w:type="paragraph" w:styleId="aa">
    <w:name w:val="Subtitle"/>
    <w:basedOn w:val="a"/>
    <w:next w:val="a"/>
    <w:uiPriority w:val="11"/>
    <w:qFormat w:val="1"/>
    <w:pPr>
      <w:keepNext w:val="1"/>
      <w:keepLines w:val="1"/>
      <w:spacing w:after="80" w:before="360"/>
    </w:pPr>
    <w:rPr>
      <w:rFonts w:ascii="Georgia" w:cs="Georgia" w:eastAsia="Georgia" w:hAnsi="Georgia"/>
      <w:i w:val="1"/>
      <w:color w:val="666666"/>
      <w:sz w:val="48"/>
      <w:szCs w:val="48"/>
    </w:rPr>
  </w:style>
  <w:style w:type="table" w:styleId="ab" w:customStyle="1">
    <w:basedOn w:val="a1"/>
    <w:pPr>
      <w:spacing w:after="0" w:line="240" w:lineRule="auto"/>
    </w:pPr>
    <w:tblPr>
      <w:tblStyleRowBandSize w:val="1"/>
      <w:tblStyleColBandSize w:val="1"/>
    </w:tblPr>
  </w:style>
  <w:style w:type="table" w:styleId="ac" w:customStyle="1">
    <w:basedOn w:val="a1"/>
    <w:pPr>
      <w:spacing w:after="0" w:line="240" w:lineRule="auto"/>
    </w:pPr>
    <w:tblPr>
      <w:tblStyleRowBandSize w:val="1"/>
      <w:tblStyleColBandSize w:val="1"/>
    </w:tblPr>
  </w:style>
  <w:style w:type="table" w:styleId="ad" w:customStyle="1">
    <w:basedOn w:val="a1"/>
    <w:pPr>
      <w:spacing w:after="0" w:line="240" w:lineRule="auto"/>
    </w:pPr>
    <w:tblPr>
      <w:tblStyleRowBandSize w:val="1"/>
      <w:tblStyleColBandSize w:val="1"/>
    </w:tblPr>
  </w:style>
  <w:style w:type="table" w:styleId="ae" w:customStyle="1">
    <w:basedOn w:val="a1"/>
    <w:pPr>
      <w:spacing w:after="0" w:line="240" w:lineRule="auto"/>
    </w:pPr>
    <w:tblPr>
      <w:tblStyleRowBandSize w:val="1"/>
      <w:tblStyleColBandSize w:val="1"/>
    </w:tblPr>
  </w:style>
  <w:style w:type="table" w:styleId="af" w:customStyle="1">
    <w:basedOn w:val="TableNormal10"/>
    <w:pPr>
      <w:spacing w:after="0" w:line="240" w:lineRule="auto"/>
    </w:pPr>
    <w:tblPr>
      <w:tblStyleRowBandSize w:val="1"/>
      <w:tblStyleColBandSize w:val="1"/>
      <w:tblCellMar>
        <w:left w:w="108.0" w:type="dxa"/>
        <w:right w:w="108.0" w:type="dxa"/>
      </w:tblCellMar>
    </w:tblPr>
  </w:style>
  <w:style w:type="table" w:styleId="af0" w:customStyle="1">
    <w:basedOn w:val="TableNormal10"/>
    <w:pPr>
      <w:spacing w:after="0" w:line="240" w:lineRule="auto"/>
    </w:pPr>
    <w:tblPr>
      <w:tblStyleRowBandSize w:val="1"/>
      <w:tblStyleColBandSize w:val="1"/>
      <w:tblCellMar>
        <w:left w:w="108.0" w:type="dxa"/>
        <w:right w:w="108.0" w:type="dxa"/>
      </w:tblCellMar>
    </w:tblPr>
  </w:style>
  <w:style w:type="table" w:styleId="af1" w:customStyle="1">
    <w:basedOn w:val="TableNormal1"/>
    <w:pPr>
      <w:spacing w:after="0" w:line="240" w:lineRule="auto"/>
    </w:pPr>
    <w:tblPr>
      <w:tblStyleRowBandSize w:val="1"/>
      <w:tblStyleColBandSize w:val="1"/>
      <w:tblCellMar>
        <w:left w:w="108.0" w:type="dxa"/>
        <w:right w:w="108.0" w:type="dxa"/>
      </w:tblCellMar>
    </w:tblPr>
  </w:style>
  <w:style w:type="table" w:styleId="af2" w:customStyle="1">
    <w:basedOn w:val="TableNormal1"/>
    <w:pPr>
      <w:spacing w:after="0" w:line="240" w:lineRule="auto"/>
    </w:pPr>
    <w:tblPr>
      <w:tblStyleRowBandSize w:val="1"/>
      <w:tblStyleColBandSize w:val="1"/>
      <w:tblCellMar>
        <w:left w:w="108.0" w:type="dxa"/>
        <w:right w:w="108.0" w:type="dxa"/>
      </w:tblCellMar>
    </w:tblPr>
  </w:style>
  <w:style w:type="character" w:styleId="af3">
    <w:name w:val="Hyperlink"/>
    <w:basedOn w:val="a0"/>
    <w:uiPriority w:val="99"/>
    <w:unhideWhenUsed w:val="1"/>
    <w:rsid w:val="00E90613"/>
    <w:rPr>
      <w:color w:val="0563c1" w:themeColor="hyperlink"/>
      <w:u w:val="single"/>
    </w:rPr>
  </w:style>
  <w:style w:type="character" w:styleId="10" w:customStyle="1">
    <w:name w:val="확인되지 않은 멘션1"/>
    <w:basedOn w:val="a0"/>
    <w:uiPriority w:val="99"/>
    <w:semiHidden w:val="1"/>
    <w:unhideWhenUsed w:val="1"/>
    <w:rsid w:val="00E90613"/>
    <w:rPr>
      <w:color w:val="605e5c"/>
      <w:shd w:color="auto" w:fill="e1dfdd" w:val="clear"/>
    </w:rPr>
  </w:style>
  <w:style w:type="table" w:styleId="af4" w:customStyle="1">
    <w:basedOn w:val="TableNormal1"/>
    <w:pPr>
      <w:spacing w:after="0" w:line="240" w:lineRule="auto"/>
    </w:pPr>
    <w:tblPr>
      <w:tblStyleRowBandSize w:val="1"/>
      <w:tblStyleColBandSize w:val="1"/>
      <w:tblCellMar>
        <w:left w:w="108.0" w:type="dxa"/>
        <w:right w:w="108.0" w:type="dxa"/>
      </w:tblCellMar>
    </w:tblPr>
  </w:style>
  <w:style w:type="table" w:styleId="af5" w:customStyle="1">
    <w:basedOn w:val="TableNormal1"/>
    <w:pPr>
      <w:spacing w:after="0" w:line="240" w:lineRule="auto"/>
    </w:pPr>
    <w:tblPr>
      <w:tblStyleRowBandSize w:val="1"/>
      <w:tblStyleColBandSize w:val="1"/>
      <w:tblCellMar>
        <w:left w:w="108.0" w:type="dxa"/>
        <w:right w:w="108.0" w:type="dxa"/>
      </w:tblCellMar>
    </w:tblPr>
  </w:style>
  <w:style w:type="paragraph" w:styleId="af6" w:customStyle="1">
    <w:name w:val="바탕글"/>
    <w:basedOn w:val="a"/>
    <w:rsid w:val="00643F02"/>
    <w:pPr>
      <w:spacing w:after="0" w:line="384" w:lineRule="auto"/>
      <w:textAlignment w:val="baseline"/>
    </w:pPr>
    <w:rPr>
      <w:rFonts w:ascii="굴림" w:cs="굴림" w:eastAsia="굴림" w:hAnsi="굴림"/>
      <w:color w:val="000000"/>
    </w:rPr>
  </w:style>
  <w:style w:type="character" w:styleId="af7">
    <w:name w:val="annotation reference"/>
    <w:basedOn w:val="a0"/>
    <w:uiPriority w:val="99"/>
    <w:semiHidden w:val="1"/>
    <w:unhideWhenUsed w:val="1"/>
    <w:rsid w:val="008A140B"/>
    <w:rPr>
      <w:sz w:val="18"/>
      <w:szCs w:val="18"/>
    </w:rPr>
  </w:style>
  <w:style w:type="paragraph" w:styleId="af8">
    <w:name w:val="annotation text"/>
    <w:basedOn w:val="a"/>
    <w:link w:val="Char3"/>
    <w:uiPriority w:val="99"/>
    <w:semiHidden w:val="1"/>
    <w:unhideWhenUsed w:val="1"/>
    <w:rsid w:val="008A140B"/>
    <w:pPr>
      <w:jc w:val="left"/>
    </w:pPr>
  </w:style>
  <w:style w:type="character" w:styleId="Char3" w:customStyle="1">
    <w:name w:val="메모 텍스트 Char"/>
    <w:basedOn w:val="a0"/>
    <w:link w:val="af8"/>
    <w:uiPriority w:val="99"/>
    <w:semiHidden w:val="1"/>
    <w:rsid w:val="008A140B"/>
  </w:style>
  <w:style w:type="paragraph" w:styleId="af9">
    <w:name w:val="annotation subject"/>
    <w:basedOn w:val="af8"/>
    <w:next w:val="af8"/>
    <w:link w:val="Char4"/>
    <w:uiPriority w:val="99"/>
    <w:semiHidden w:val="1"/>
    <w:unhideWhenUsed w:val="1"/>
    <w:rsid w:val="008A140B"/>
    <w:rPr>
      <w:b w:val="1"/>
      <w:bCs w:val="1"/>
    </w:rPr>
  </w:style>
  <w:style w:type="character" w:styleId="Char4" w:customStyle="1">
    <w:name w:val="메모 주제 Char"/>
    <w:basedOn w:val="Char3"/>
    <w:link w:val="af9"/>
    <w:uiPriority w:val="99"/>
    <w:semiHidden w:val="1"/>
    <w:rsid w:val="008A140B"/>
    <w:rPr>
      <w:b w:val="1"/>
      <w:bCs w:val="1"/>
    </w:rPr>
  </w:style>
  <w:style w:type="table" w:styleId="afa" w:customStyle="1">
    <w:basedOn w:val="TableNormal0"/>
    <w:pPr>
      <w:spacing w:after="0" w:line="240" w:lineRule="auto"/>
    </w:pPr>
    <w:tblPr>
      <w:tblStyleRowBandSize w:val="1"/>
      <w:tblStyleColBandSize w:val="1"/>
      <w:tblCellMar>
        <w:left w:w="108.0" w:type="dxa"/>
        <w:right w:w="108.0" w:type="dxa"/>
      </w:tblCellMar>
    </w:tblPr>
  </w:style>
  <w:style w:type="table" w:styleId="afb" w:customStyle="1">
    <w:basedOn w:val="TableNormal0"/>
    <w:pPr>
      <w:spacing w:after="0" w:line="240" w:lineRule="auto"/>
    </w:pPr>
    <w:tblPr>
      <w:tblStyleRowBandSize w:val="1"/>
      <w:tblStyleColBandSize w:val="1"/>
      <w:tblCellMar>
        <w:left w:w="108.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360" w:line="259" w:lineRule="auto"/>
      <w:ind w:left="0" w:right="0" w:firstLine="0"/>
      <w:jc w:val="both"/>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360" w:line="259" w:lineRule="auto"/>
      <w:ind w:left="0" w:right="0" w:firstLine="0"/>
      <w:jc w:val="both"/>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360" w:line="259" w:lineRule="auto"/>
      <w:ind w:left="0" w:right="0" w:firstLine="0"/>
      <w:jc w:val="both"/>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360" w:line="259" w:lineRule="auto"/>
      <w:ind w:left="0" w:right="0" w:firstLine="0"/>
      <w:jc w:val="both"/>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360" w:line="259" w:lineRule="auto"/>
      <w:ind w:left="0" w:right="0" w:firstLine="0"/>
      <w:jc w:val="both"/>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www.youtube.com/@IGEEyonsei" TargetMode="External"/><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NotoSansKR-regular.ttf"/><Relationship Id="rId2" Type="http://schemas.openxmlformats.org/officeDocument/2006/relationships/font" Target="fonts/NotoSansKR-bold.ttf"/><Relationship Id="rId3" Type="http://schemas.openxmlformats.org/officeDocument/2006/relationships/font" Target="fonts/ArialBlack-regular.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1.png"/><Relationship Id="rId3" Type="http://schemas.openxmlformats.org/officeDocument/2006/relationships/image" Target="media/image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Q8xm+mFPOeKnZhOHN84q5aIJ/Q==">CgMxLjAaHwoBMBIaChgICVIUChJ0YWJsZS50MDRwa3A2M2QwbXUaHwoBMRIaChgICVIUChJ0YWJsZS53eTM5Y2VlbGZzMjUaHwoBMhIaChgICVIUChJ0YWJsZS5jbHNpeGo3cnZnaDkyDmgueWN1NzVjNzBobGhpMg5oLmJjbGo0OXE3am1kNjIOaC42dG9zdDM1OGliYmc4AHIhMTF2R3FNLU1oSVlYSFBtcDhicXFacEUxcGRjTGFFaXpL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2023-01-12T06:54:00Z</dcterms:created>
  <dc:creator>이 종혁</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0fb1ddeed95a8ded424df54ffcfae5606c59d756a15a0db491fe5fce881a2028</vt:lpwstr>
  </property>
</Properties>
</file>